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0216" w14:textId="1F783B9B" w:rsidR="00843FCB" w:rsidRDefault="0078064F" w:rsidP="0078064F">
      <w:pPr>
        <w:pStyle w:val="Title"/>
        <w:rPr>
          <w:rFonts w:ascii="Times New Roman" w:hAnsi="Times New Roman" w:cs="Times New Roman"/>
          <w:b/>
          <w:bCs/>
          <w:sz w:val="36"/>
          <w:szCs w:val="36"/>
        </w:rPr>
      </w:pPr>
      <w:r w:rsidRPr="0078064F">
        <w:rPr>
          <w:rFonts w:ascii="Times New Roman" w:hAnsi="Times New Roman" w:cs="Times New Roman"/>
          <w:b/>
          <w:bCs/>
          <w:sz w:val="36"/>
          <w:szCs w:val="36"/>
        </w:rPr>
        <w:t>Procedures for Creating and Posting Accessible Digital Content</w:t>
      </w:r>
    </w:p>
    <w:p w14:paraId="09B2D3BA" w14:textId="2C714031" w:rsidR="0078064F" w:rsidRDefault="0078064F" w:rsidP="0078064F"/>
    <w:p w14:paraId="0FB8656E" w14:textId="0C49D062" w:rsidR="0078064F" w:rsidRDefault="0078064F" w:rsidP="0078064F">
      <w:r>
        <w:t>Authorized University personnel may develop and maintain official University Digital Properties and Digital Content consistent with Policy 13620 – Digital Accessibility.</w:t>
      </w:r>
    </w:p>
    <w:p w14:paraId="06CC0225" w14:textId="7001338C" w:rsidR="0078064F" w:rsidRDefault="0078064F" w:rsidP="0078064F">
      <w:r>
        <w:t>Administrative units, individuals, and organizations request ability to publish or manage Digital Content must contact the appropriate office and complete required training prior to receiving publishing permissions:</w:t>
      </w:r>
    </w:p>
    <w:p w14:paraId="792370FA" w14:textId="08214D83" w:rsidR="0078064F" w:rsidRDefault="0078064F" w:rsidP="0078064F">
      <w:pPr>
        <w:pStyle w:val="ListParagraph"/>
        <w:numPr>
          <w:ilvl w:val="0"/>
          <w:numId w:val="1"/>
        </w:numPr>
      </w:pPr>
      <w:r>
        <w:t xml:space="preserve">Public Website and Official Web Publishing: Office </w:t>
      </w:r>
      <w:r w:rsidR="00C56431">
        <w:t>of</w:t>
      </w:r>
      <w:r>
        <w:t xml:space="preserve"> Marketing/University </w:t>
      </w:r>
      <w:r w:rsidR="00C56431">
        <w:t>Communications</w:t>
      </w:r>
      <w:r>
        <w:t xml:space="preserve"> and Marketing (or designated office).</w:t>
      </w:r>
    </w:p>
    <w:p w14:paraId="7E868E7D" w14:textId="566A1509" w:rsidR="0078064F" w:rsidRDefault="0078064F" w:rsidP="0078064F">
      <w:pPr>
        <w:pStyle w:val="ListParagraph"/>
        <w:numPr>
          <w:ilvl w:val="0"/>
          <w:numId w:val="1"/>
        </w:numPr>
      </w:pPr>
      <w:r>
        <w:t>Learning Management System and Course Publishing: CaTS and Wright State Online (or designated office).</w:t>
      </w:r>
    </w:p>
    <w:p w14:paraId="3EB5E318" w14:textId="1B0CBBD6" w:rsidR="0078064F" w:rsidRDefault="0078064F" w:rsidP="0078064F">
      <w:pPr>
        <w:pStyle w:val="ListParagraph"/>
        <w:numPr>
          <w:ilvl w:val="0"/>
          <w:numId w:val="1"/>
        </w:numPr>
      </w:pPr>
      <w:r>
        <w:t>Other Web Services, Applications, and Systems: CaTS</w:t>
      </w:r>
    </w:p>
    <w:p w14:paraId="528ED1D0" w14:textId="12342520" w:rsidR="0078064F" w:rsidRDefault="0078064F" w:rsidP="0078064F">
      <w:r>
        <w:t>Before publishing or distributing Digital Content, content owners and content editors must:</w:t>
      </w:r>
    </w:p>
    <w:p w14:paraId="7580FEC9" w14:textId="50DC7876" w:rsidR="0078064F" w:rsidRDefault="0078064F" w:rsidP="0078064F">
      <w:pPr>
        <w:pStyle w:val="ListParagraph"/>
        <w:numPr>
          <w:ilvl w:val="0"/>
          <w:numId w:val="2"/>
        </w:numPr>
      </w:pPr>
      <w:r>
        <w:t>use accessible templates and tools when available;</w:t>
      </w:r>
    </w:p>
    <w:p w14:paraId="35063516" w14:textId="229F1274" w:rsidR="0078064F" w:rsidRDefault="0078064F" w:rsidP="0078064F">
      <w:pPr>
        <w:pStyle w:val="ListParagraph"/>
        <w:numPr>
          <w:ilvl w:val="0"/>
          <w:numId w:val="2"/>
        </w:numPr>
      </w:pPr>
      <w:r>
        <w:t>follow accessibility best practices (e.g., heading structure, meaningful link text, alternative text for meaningful images, captions/transcripts as needed, table structure, color contrast); and</w:t>
      </w:r>
    </w:p>
    <w:p w14:paraId="4B93C17C" w14:textId="50BDD4E2" w:rsidR="0078064F" w:rsidRDefault="0078064F" w:rsidP="0078064F">
      <w:pPr>
        <w:pStyle w:val="ListParagraph"/>
        <w:numPr>
          <w:ilvl w:val="0"/>
          <w:numId w:val="2"/>
        </w:numPr>
      </w:pPr>
      <w:r>
        <w:t>use available accessibility checking tools and remediation guidance as provided by the University.</w:t>
      </w:r>
    </w:p>
    <w:p w14:paraId="1D9CD15F" w14:textId="7C04D768" w:rsidR="0078064F" w:rsidRDefault="0078064F" w:rsidP="0078064F">
      <w:r>
        <w:t>In selecting the format for Digital Content, content owners and content editors must first determine whether a PDF is necessary. PDFs should not be used as the default format for public posting or email distribution when a more accessible alternative is available.</w:t>
      </w:r>
    </w:p>
    <w:p w14:paraId="60C8AD4F" w14:textId="024B58AE" w:rsidR="0078064F" w:rsidRDefault="0078064F" w:rsidP="0078064F">
      <w:r>
        <w:t>When evaluating whether to post or distribute a PDF, content owners should use the following decision process:</w:t>
      </w:r>
    </w:p>
    <w:p w14:paraId="31ADD7D5" w14:textId="1F95B014" w:rsidR="0078064F" w:rsidRDefault="0078064F" w:rsidP="0078064F">
      <w:pPr>
        <w:pStyle w:val="Heading2"/>
      </w:pPr>
      <w:r>
        <w:t>A. Determine the Type of Content</w:t>
      </w:r>
    </w:p>
    <w:p w14:paraId="4C90B0D4" w14:textId="12B941D2" w:rsidR="0078064F" w:rsidRDefault="0078064F" w:rsidP="0078064F">
      <w:pPr>
        <w:pStyle w:val="ListParagraph"/>
        <w:numPr>
          <w:ilvl w:val="0"/>
          <w:numId w:val="3"/>
        </w:numPr>
      </w:pPr>
      <w:r>
        <w:t>Informational Content: Content owners should plan to move the content to a searchable, accessible web page as soon as practical.</w:t>
      </w:r>
    </w:p>
    <w:p w14:paraId="681EC7B7" w14:textId="5AEED7D0" w:rsidR="0078064F" w:rsidRDefault="0078064F" w:rsidP="0078064F">
      <w:pPr>
        <w:pStyle w:val="ListParagraph"/>
        <w:numPr>
          <w:ilvl w:val="0"/>
          <w:numId w:val="3"/>
        </w:numPr>
      </w:pPr>
      <w:r>
        <w:t>Forms or Data Collection: Content owners should use an accessible form or workflow solution, such as Microsoft Forms, Qualtrics, SharePoint-based processes, or other University-approved platforms, rather than a PDF, whenever feasible.</w:t>
      </w:r>
    </w:p>
    <w:p w14:paraId="17DA3C6D" w14:textId="120860D1" w:rsidR="0078064F" w:rsidRDefault="0078064F" w:rsidP="0078064F">
      <w:pPr>
        <w:pStyle w:val="ListParagraph"/>
        <w:numPr>
          <w:ilvl w:val="0"/>
          <w:numId w:val="3"/>
        </w:numPr>
      </w:pPr>
      <w:r>
        <w:t>Content that Must Remain a PDF: If operational, legal, recordkeeping, or other business needs require the use of a PDF, the PDF must be remediated or created to meet accessibility standards before public posting or distribution, unless another lawful exception applies.</w:t>
      </w:r>
    </w:p>
    <w:p w14:paraId="6676EB3E" w14:textId="15D31F79" w:rsidR="0078064F" w:rsidRDefault="0078064F" w:rsidP="0078064F">
      <w:pPr>
        <w:pStyle w:val="Heading2"/>
      </w:pPr>
      <w:r>
        <w:t>B. Determine the Location and Audience</w:t>
      </w:r>
    </w:p>
    <w:p w14:paraId="5F6B25B2" w14:textId="34179219" w:rsidR="0078064F" w:rsidRDefault="0078064F" w:rsidP="0078064F">
      <w:pPr>
        <w:pStyle w:val="ListParagraph"/>
        <w:numPr>
          <w:ilvl w:val="0"/>
          <w:numId w:val="4"/>
        </w:numPr>
      </w:pPr>
      <w:r>
        <w:t>Internal Campus Use Only: If the content is intended only for internal University use, the content owner should evaluate whether the material can be removed from public-facing websites and instead shared through approved internal platforms such as SharePoint or other authenticated University systems.</w:t>
      </w:r>
    </w:p>
    <w:p w14:paraId="074CA685" w14:textId="2E69D4EA" w:rsidR="0078064F" w:rsidRDefault="0078064F" w:rsidP="0078064F">
      <w:pPr>
        <w:pStyle w:val="ListParagraph"/>
        <w:numPr>
          <w:ilvl w:val="0"/>
          <w:numId w:val="4"/>
        </w:numPr>
      </w:pPr>
      <w:r>
        <w:t xml:space="preserve">External or Public Use: If the content is </w:t>
      </w:r>
      <w:r w:rsidR="00C56431">
        <w:t>intended</w:t>
      </w:r>
      <w:r>
        <w:t xml:space="preserve"> for external audiences or public distribution, the content owner must determine whether a PDF is necessary to achieve the intended purpose. If </w:t>
      </w:r>
      <w:r>
        <w:lastRenderedPageBreak/>
        <w:t>not, a more accessible alternative should be sued for posting to the public website or distribution by email.</w:t>
      </w:r>
    </w:p>
    <w:p w14:paraId="14ED7141" w14:textId="522DA93C" w:rsidR="0078064F" w:rsidRDefault="0078064F" w:rsidP="0078064F">
      <w:pPr>
        <w:pStyle w:val="ListParagraph"/>
        <w:numPr>
          <w:ilvl w:val="0"/>
          <w:numId w:val="4"/>
        </w:numPr>
      </w:pPr>
      <w:r>
        <w:t>When in Doubt: The preferred approach is to remove the PDF from public-facing use and replace it with a more accessible format. In most circumstances, accessible web content or approved platform-based workflows provide the best user experience, better searchability, and lower accessibility risk.</w:t>
      </w:r>
    </w:p>
    <w:p w14:paraId="3CC24B2C" w14:textId="7C906D3E" w:rsidR="0078064F" w:rsidRDefault="0078064F" w:rsidP="0078064F">
      <w:pPr>
        <w:pStyle w:val="Heading2"/>
      </w:pPr>
      <w:r>
        <w:t>C. Consultation and Planning</w:t>
      </w:r>
    </w:p>
    <w:p w14:paraId="4BBBD6EA" w14:textId="0C820064" w:rsidR="0078064F" w:rsidRDefault="0078064F" w:rsidP="0078064F">
      <w:r>
        <w:t>Content owners are expected to consult with the Digital Accessibility Coordinator, Digital Accessibility Committee, or other designated University support resources when evaluating high-impact PDF content for replacement, remediation, or workflow redesign. University units should prioritize conversion of PDF-based processes when an accessible and operationally feasible alternative exists.</w:t>
      </w:r>
    </w:p>
    <w:p w14:paraId="7255AC5B" w14:textId="0C4BFDA1" w:rsidR="0078064F" w:rsidRDefault="0078064F" w:rsidP="0078064F">
      <w:r>
        <w:t>Content owners should prioritize:</w:t>
      </w:r>
    </w:p>
    <w:p w14:paraId="5A4DCCD9" w14:textId="1191415F" w:rsidR="0078064F" w:rsidRDefault="0078064F" w:rsidP="0078064F">
      <w:pPr>
        <w:pStyle w:val="ListParagraph"/>
        <w:numPr>
          <w:ilvl w:val="0"/>
          <w:numId w:val="5"/>
        </w:numPr>
      </w:pPr>
      <w:r>
        <w:t>removing outdated, duplicate, or unnecessary content;</w:t>
      </w:r>
    </w:p>
    <w:p w14:paraId="0C858666" w14:textId="741AB623" w:rsidR="0078064F" w:rsidRDefault="0078064F" w:rsidP="0078064F">
      <w:pPr>
        <w:pStyle w:val="ListParagraph"/>
        <w:numPr>
          <w:ilvl w:val="0"/>
          <w:numId w:val="5"/>
        </w:numPr>
      </w:pPr>
      <w:r>
        <w:t>replacing PDF content with more accessible formats, including accessible web pages, accessible web forms, or approved workflow tools, whenever feasible;</w:t>
      </w:r>
    </w:p>
    <w:p w14:paraId="3FCA63A9" w14:textId="556D0DC5" w:rsidR="0078064F" w:rsidRDefault="0078064F" w:rsidP="0078064F">
      <w:pPr>
        <w:pStyle w:val="ListParagraph"/>
        <w:numPr>
          <w:ilvl w:val="0"/>
          <w:numId w:val="5"/>
        </w:numPr>
      </w:pPr>
      <w:r>
        <w:t xml:space="preserve">converting high-impact PDF-dependent processes into more accessible digital </w:t>
      </w:r>
      <w:r w:rsidR="00C56431">
        <w:t>solutions</w:t>
      </w:r>
      <w:r>
        <w:t>;</w:t>
      </w:r>
    </w:p>
    <w:p w14:paraId="58F3270F" w14:textId="40BF161D" w:rsidR="0078064F" w:rsidRDefault="0078064F" w:rsidP="0078064F">
      <w:pPr>
        <w:pStyle w:val="ListParagraph"/>
        <w:numPr>
          <w:ilvl w:val="0"/>
          <w:numId w:val="5"/>
        </w:numPr>
      </w:pPr>
      <w:r>
        <w:t>remediating remaining content that must continue to exist in document form; and</w:t>
      </w:r>
    </w:p>
    <w:p w14:paraId="7DC03385" w14:textId="12E37C9E" w:rsidR="0078064F" w:rsidRDefault="0078064F" w:rsidP="0078064F">
      <w:pPr>
        <w:pStyle w:val="ListParagraph"/>
        <w:numPr>
          <w:ilvl w:val="0"/>
          <w:numId w:val="5"/>
        </w:numPr>
      </w:pPr>
      <w:r>
        <w:t>prioritizing high-traffic, high-visibility, program-critical, and high-enrollment content for review and correction.</w:t>
      </w:r>
    </w:p>
    <w:p w14:paraId="3C306FF2" w14:textId="5348A349" w:rsidR="0078064F" w:rsidRPr="0078064F" w:rsidRDefault="0078064F" w:rsidP="0078064F">
      <w:r>
        <w:t xml:space="preserve">If any Digital Content is </w:t>
      </w:r>
      <w:r w:rsidR="00C56431">
        <w:t>determined</w:t>
      </w:r>
      <w:r>
        <w:t xml:space="preserve"> to be in violation of Policy 13620 – Digital Accessibility, an effort will be made to</w:t>
      </w:r>
      <w:r w:rsidR="00C56431">
        <w:t xml:space="preserve"> discuss the issue(s) with the content owner/editor and to correct errors within a timeframe appropriate to severity and impact. If necessary, the Digital Accessibility Coordinator has the authority to facilitate the disabling of non-compliant content on University-controlled services consistent with University procedures.</w:t>
      </w:r>
    </w:p>
    <w:sectPr w:rsidR="0078064F" w:rsidRPr="00780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5F4F"/>
    <w:multiLevelType w:val="hybridMultilevel"/>
    <w:tmpl w:val="3104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C23F8"/>
    <w:multiLevelType w:val="hybridMultilevel"/>
    <w:tmpl w:val="38F0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A5CA2"/>
    <w:multiLevelType w:val="hybridMultilevel"/>
    <w:tmpl w:val="024E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742F8"/>
    <w:multiLevelType w:val="hybridMultilevel"/>
    <w:tmpl w:val="C832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A602C"/>
    <w:multiLevelType w:val="hybridMultilevel"/>
    <w:tmpl w:val="6536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4F"/>
    <w:rsid w:val="00215115"/>
    <w:rsid w:val="004B480F"/>
    <w:rsid w:val="0078064F"/>
    <w:rsid w:val="00843FCB"/>
    <w:rsid w:val="00A2465E"/>
    <w:rsid w:val="00C5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FD35"/>
  <w15:chartTrackingRefBased/>
  <w15:docId w15:val="{64DFFA51-0CA1-4BB6-B9D9-CDD9B579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11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11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115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5115"/>
    <w:pPr>
      <w:keepNext/>
      <w:keepLines/>
      <w:spacing w:before="40" w:after="0"/>
      <w:outlineLvl w:val="3"/>
    </w:pPr>
    <w:rPr>
      <w:rFonts w:eastAsiaTheme="majorEastAsia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115"/>
    <w:rPr>
      <w:rFonts w:eastAsiaTheme="majorEastAsia" w:cstheme="majorBidi"/>
      <w:b/>
      <w:color w:val="000000" w:themeColor="text1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115"/>
    <w:pPr>
      <w:numPr>
        <w:ilvl w:val="1"/>
      </w:numPr>
    </w:pPr>
    <w:rPr>
      <w:rFonts w:eastAsiaTheme="minorEastAsia" w:cstheme="minorBidi"/>
      <w:b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5115"/>
    <w:rPr>
      <w:rFonts w:eastAsiaTheme="minorEastAsia" w:cstheme="minorBidi"/>
      <w:b/>
      <w:color w:val="000000" w:themeColor="tex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215115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5115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5115"/>
    <w:rPr>
      <w:rFonts w:eastAsiaTheme="majorEastAsia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7806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8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OConnor, Jubilee</dc:creator>
  <cp:keywords/>
  <dc:description/>
  <cp:lastModifiedBy>OConnor, Jubilee</cp:lastModifiedBy>
  <cp:revision>1</cp:revision>
  <dcterms:created xsi:type="dcterms:W3CDTF">2026-04-20T15:38:00Z</dcterms:created>
  <dcterms:modified xsi:type="dcterms:W3CDTF">2026-04-20T15:53:00Z</dcterms:modified>
</cp:coreProperties>
</file>